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85" w:rsidRPr="00B32785" w:rsidRDefault="00B32785" w:rsidP="00B32785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</w:pPr>
      <w:r w:rsidRPr="00B32785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ИНФОРМАЦИЯ по исполнению Федерального закона № 261 от 23.11.2009 г. о правах и обязанностях физических лиц, о требованиях, предъявляемых к собственникам жилых домов, собственниками помещений в многоквартирных домах, лицам, ответственным за содержание многоквартирных домов, и об иных требованиях указанного выше Федерального закона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bookmarkStart w:id="0" w:name="_GoBack"/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Обязательна ли установка приборов учёта энергоресурсов?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Да, обязательна. Согласно закону расчёты за энергетические ресурсы, включая воду, должны осуществляться на основании данных об их количественном значении, определенных при помощи приборов учёта.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В какие сроки необходимо установить приборы учета энергоресурсов?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Федеральным законом от 23.11.2009 № 261-ФЗ на собственников помещений в многоквартирных домах и собственников жилых домов возложена обязанность по установке приборов учета энергоресурсов. В соответствии с Федеральным законом (в ред. от 18.07.2011) от 23.11.2009 № 261-ФЗ до 1 июля 2012 года собственники помещений в многоквартирных домах обязаны обеспечить установку приборов учета воды, тепловой энергии, электрической энергии, а природного газа – в срок до 1 января 2015 года. С 1 января 2012 г. вводимые в эксплуатацию и реконструируемые многоквартирные жилые дома должны оснащаться индивидуальными теплосчётчиками в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квартирах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.С</w:t>
      </w:r>
      <w:proofErr w:type="spellEnd"/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момента принятия закона не допускается ввод в эксплуатацию зданий, строений, сооружений без оснащения их приборами учёта энергоресурсов и воды.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Кто должен оплачивать установку приборов учёта?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Закон обязывает собственников зданий, строений, сооружений, жилых, дачных или садовых домов, помещений в многоквартирных домах нести расходы на установку приборов учёта. Если собственник не в состоянии оплатить прибор учёта и его установку сразу, организация-поставщик энергоресурсов обязана предоставить рассрочку по платежам со сроком до 5 лет. Процент за такой кредит устанавливается по действующей на момент заключения договора об установке приборов учёта ставке рефинансирования Центробанка РФ. Установка коллективных приборов учета осуществляется за счет средств собственников помещений в многоквартирном доме.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Нужно ли собственникам помещений многоквартирного дома собирать общее собрание для принятия решения об установке приборов учёта?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Да, нужно. Прежде чем приступать к организации в доме учёта тепла, необходимо коллективное решение собственников, принятое большинством голосов на общем собрании. Поскольку будущий узел учёта станет общедомовой собственностью, оплата оборудования и работ целиком или частично (в случае участия в федеральных, областных или муниципальных программах) распределяется между всеми собственниками квартир. Задача управляющей компании или правления ТСЖ, ЖСК – донести информацию до собственников, что установка приборов учёта необходима согласно закону об энергосбережении и отказ от установки грозит принудительными мерами по установке приборов учёта со стороны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энергоснабжающей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организации и разбирательством в суде. УК или правление ТСЖ, ЖСК должны предложить собственникам варианты: перечень компаний, с которыми имеется возможность заключить договор на установку приборов учёта энергоресурсов и их предложения по стоимости работ и качеству предлагаемого оборудования.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Какую выгоду получит потребитель при установке прибора учета?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Установка прибора учета направлена, прежде всего, к переходу на оплату за фактическую величину потребленного ресурса, определяемого по показаниям прибора учета. В соответствии с Правилами предоставления коммунальных услуг гражданам, утвержденными постановлением Правительства РФ от 23.05.2006 № 307, на примере многоквартирного дома, в помещениях которого отсутствуют коллективные приборы учета, и наличии общих и индивидуальных приборов учета энергоресурсов можно отметить следующее. В случае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если величина норматива потребления коммунальной услуги меньше фактической величины потребления ресурса, измеренного по показаниям прибора учета, то при установке прибора учета размер платы, вследствие возросшего фактического потребления ресурса, увеличится, а если норматив был высокий – то граждане соответственно будут платить меньше. 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Если в доме установлен коллективный прибор учета, то размер платы за коммунальную услугу (холодное водоснабжение, горячее водоснабжение, газоснабжение и электроснабжение) для граждан, установивших индивидуальный приборы учета, будет зависеть от отношения объема коммунального ресурса, определенного по показаниям коллективного прибора учета, к сумме объема ресурса, измеренного индивидуальными приборами учета, и объема ресурса, определенного исходя из норматива потребления коммунальной услуги.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Вышеуказанные Правила предоставления коммунальных услуг гражданам утратят силу в связи с принятием постановления Правительства РФ от 06.05.2011 № 354 со дня вступления в силу Правил предоставления коммунальных услуг собственникам и пользователям помещений в многоквартирных домах и жилых домов.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Есть ли исключения из требований по установке приборов учета?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основании ч. 1 ст. 13 Федерального закона от 23.11.2009 № 261-ФЗ требования в части организации учета используемых энергетических ресурсов не распространяются на ветхие, аварийные объекты, объекты, подлежащие сносу или капитальному ремонту до 1 января 2013 года, а также объекты, мощность потребления электрической энергии которых составляет менее чем пять киловатт (в отношении организации учета используемой электрической энергии) или максимальный объем потребления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тепловой 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энергии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которых составляет менее чем две десятых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гигакалории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 час (в отношении организации учета используемой тепловой энергии).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Кто имеет право устанавливать приборы учёта энергоресурсов?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Приборы учёта имеют право устанавливать организации-поставщики энергоресурсов и специализированные организации. Данные организации должны иметь профильных специалистов необходимого уровня квалификации, деятельность по установке приборов учёта должна быть прописана в уставных документах организации, организация должна быть членом СРО в строительстве и иметь выданное СРО свидетельство о допуске к данному конкретному виду работ. Поставщики энергоресурсов не только имеют право, а обязаны осуществлять деятельность по установке, замене, эксплуатации приборов учёта используемых энергетических ресурсов, снабжение которыми или передачу которых они осуществляют. До 1 июля 2010 г.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энергоснабжающие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организации должны были предоставить собственникам помещений в многоквартирных домах, лицам, ответственным за содержание многоквартирных домов и лицам, представляющим интересы собственников, предложения об оснащении приборами учёта используемых энергоресурсов.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Кто участвует в оформлении акта ввода индивидуального прибора учета в эксплуатацию? Имеет ли право исполнитель коммунальной услуги требовать деньги за пломбирование и последующее обслуживание счетчиков?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После установки индивидуального прибора учета потребитель должен направить заявление исполнителю коммунальной услуги (управляющая организация, товарищество собственников жилья, а при непосредственном управлении –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ресурсоснабжающая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организация) о согласовании установки прибора учета и внесении необходимых изменений в договор на поставку ресурса. После подачи заявления представитель исполнителя коммунальной услуги, организация, установившая прибор учета, и потребитель оформляют акт ввода прибора учета в эксплуатацию. В целях 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исключения случаев бесконтрольного демонтажа прибора учета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производится пломбирование установки прибора учета. Услуга по пломбированию прибора учета не подлежит государственному регулированию и определяется на основании прейскуранта цен исполнителя коммунальной услуги. Необходимо отметить, что поскольку ввод прибора учета в эксплуатацию может быть осуществлен только исполнителем </w:t>
      </w: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коммунальной услуги, то по вопросу обоснованности калькуляции затрат на ввод прибора учета в эксплуатацию исполнителя коммунальной услуги потребитель может обратиться в управление Федеральной антимонопольной службы по Нижегородской области. По желанию потребитель вправе заключить договор о техническом обслуживании прибора учета. Техническое обслуживание прибора учета может включать работы по прочистке фильтров, проверке сохранности пломб, осмотру состояния и визуальному контролю работы счетчиков.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Какую ответственность несут собственники за отказ от установки приборов учёта?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Если до 1 июля 2012 г. т до 1 января 2015 г. (см. выше) в ответ на предложения по установке приборов учёта от поставщика энергоресурсов потребитель не установит счётчик, то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энергоснабжающая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организация вправе принудительно его установить, и взыскать по суду с потребителя все расходы по установке плюс судебные издержки.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Ресурсоснабжающие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организации не вправе отказать обратившимся к ним лицам в заключени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договора, регулирующего условия установки, замены и (или) эксплуатации приборов учёта используемых ресурсов, снабжение которыми или передачу которых они осуществляют. Цена такого договора определяется соглашением сторон. Порядок заключения и существенные условия такого договора утверждены приказом Министерства энергетики Российской Федерации от 07.04.2010 № 149.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Кто осуществляет </w:t>
      </w:r>
      <w:proofErr w:type="gramStart"/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контроль за</w:t>
      </w:r>
      <w:proofErr w:type="gramEnd"/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 xml:space="preserve"> соблюдением обязанностей по установке приборов учёта энергоресурсов?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Контроль за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соблюдением данных обязанностей осуществляет Федеральная антимонопольная служба (ФАС) и Федеральная служба по экологическому, технологическому и атомному надзору (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Ростехнадзор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 и их территориальные органы в субъектах РФ.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Предусмотрены ли штрафные санкции за не соблюдение обязанностей по установке приборов учёта энергоресурсов?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Да, предусмотрены. Законом об энергосбережении (статья 37) внесены поправки в Кодекс Российской Федерации об административных правонарушениях (КоАП). Несоблюдение требований законодательства об установке приборов учёта (стадии проектирования, реконструкции, капитального ремонта, строительства) – штраф на должностных лиц от 20 до 30 тыс. руб., на организацию от 500 до 600 тыс. руб. Несоблюдение требований к поставщикам энергоресурсов по предложению установки приборов учёта собственникам жилых домов, дачных, садовых домов и их представителям. 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Штраф на должностных лиц от 20 до 30 тыс. руб., на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юрлиц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 100 до 150 тыс. руб. Необоснованный отказ или уклонение организации, на которую возложена обязанность по установке, замене, эксплуатации приборов учёта используемых энергетических ресурсов, от заключения соответствующего договора и (или) от его исполнения, а равно нарушение установленного порядка его заключения, либо несоблюдение установленных для нее в качестве обязательных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требований об установке, замене, эксплуатации приборов учёта используемых энергетических ресурсов – штраф на должностных лиц от 20 до 30 тыс. рублей; 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на ИП – от 20 до 30 тыс. руб.; на юридических лиц – от 50 до 100 тыс. руб. Несоблюдение требований об оснащении жилого дома приборами учёта лицами, ответственными за содержание многоквартирных домов – штраф на ответственное лицо от 10 до 15 тыс. руб., на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юрлиц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 20 до 30 тыс. руб. Несоблюдение требований об оснащении нежилых зданий, строений, сооружений приборами учёта лицами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, 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ответственными за их содержание – штраф на должностных лиц от 10 до 15 тыс. руб., на ИП от 25 до 35 тыс. руб., на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юрлиц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от 100 до 150 тыс. руб.</w:t>
      </w:r>
      <w:proofErr w:type="gramEnd"/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Кто осуществляет техническое обслуживание и ремонт приборов учёта?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Собственник обязан обеспечить эксплуатацию приборов учёта в соответствии с техническими требованиями на прибор. Таким образом, у владельца узла учёта должен быть заключен договор на техническое обслуживание приборов учёта с обслуживающей организацией (например, это может быть организация по установке приборов учёта,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энергоснабжающая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организация, управляющая компания). Работы по ремонту приборов учёта выполняются на предприятиях-изготовителях приборов или специализированном ремонтном предприятии в соответствии с утвержденным технологическим процессом. После ремонта прибора учёта необходимо провести внеочередную поверку.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lastRenderedPageBreak/>
        <w:t>Кто осуществляет и оплачивает поверку приборов учёта?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 обязанности собственника входит обеспечение достоверности показаний приборов учёта, в частности, их своевременная метрологическая поверка, т.е. </w:t>
      </w:r>
      <w:proofErr w:type="gram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поверка</w:t>
      </w:r>
      <w:proofErr w:type="gram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оплачивается из собственных средств собственника. Метрологическое обеспечение достоверности показаний приборов учёта заключается в периодической их поверке в специализированной организации (например, в лаборатории регионального центра стандартизации и метрологии или в организации, имеющей в своем распоряжении соответствующие испытательные лаборатории). На основании постановления правительства РФ от 20.04.10 № 250, начиная с 2012 г. поверка средств измерений количества электроэнергии, расхода холодной и горячей воды и газа, должна осуществляться только аккредитованными государственными региональными центрами метрологии. Поскольку в устройство узла учёта тепловой энергии входит и расходомер, то это требование будет относиться и к коммерческому учёту тепловой энергии. Суть метрологической поверки заключается в испытаниях прибора учёта на более точном оборудовании. Периодичность поверки указана в паспорте на прибор учёта.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Межповерочный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интервал (МПИ) приборов учёта тепловой энергии и счётчика горячей воды, как правило, составляет 4 года, а счётчика холодной воды – 6 лет.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Каковы последствия эксплуатации непроверенных приборов?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Эксплуатация непроверенного прибора учёта запрещается и расценивается поставщиком энергоресурса как отсутствие прибора учёта со всеми вытекающими для потребителя последствиями. Непосредственно на время проведения поверки разрешается оплата услуг по усреднённому расходу.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Какие приборы учёта энергии можно применять?</w:t>
      </w:r>
    </w:p>
    <w:p w:rsidR="00B32785" w:rsidRPr="00B32785" w:rsidRDefault="00B32785" w:rsidP="00B3278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Следует устанавливать только те приборы учёта, которые включены в государственный реестр средств измерений и допущенные к применению на территории Российской Федерации. Однако даже включение прибора в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Госреестр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не гарантирует его качества. Поэтому необходимо вводить систему качества в теплоснабжении, помогающую теплоснабжающим и </w:t>
      </w:r>
      <w:proofErr w:type="spellStart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теплопотребляющим</w:t>
      </w:r>
      <w:proofErr w:type="spellEnd"/>
      <w:r w:rsidRPr="00B3278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организациям применять передовой опыт, прогрессивное оборудование и новые технологические решения в области коммерческого учёта тепловой энергии. Кроме того, правилами пользования электрической, тепловой энергии, воды и газа установлены требования к классу точности применяемых приборов учёта не ниже установленного порога. Класс точности – это возможная погрешность прибора учёта в диапазоне измерений, выраженная в процентах. Чем больше число, обозначающее класс точности, тем ниже точность прибора.</w:t>
      </w:r>
    </w:p>
    <w:bookmarkEnd w:id="0"/>
    <w:p w:rsidR="002A21C8" w:rsidRDefault="002A21C8" w:rsidP="00B32785">
      <w:pPr>
        <w:jc w:val="both"/>
      </w:pPr>
    </w:p>
    <w:sectPr w:rsidR="002A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75"/>
    <w:rsid w:val="002A21C8"/>
    <w:rsid w:val="00361575"/>
    <w:rsid w:val="00B3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2785"/>
    <w:rPr>
      <w:color w:val="0000FF"/>
      <w:u w:val="single"/>
    </w:rPr>
  </w:style>
  <w:style w:type="character" w:customStyle="1" w:styleId="kbsep">
    <w:name w:val="kb_sep"/>
    <w:basedOn w:val="a0"/>
    <w:rsid w:val="00B32785"/>
  </w:style>
  <w:style w:type="character" w:customStyle="1" w:styleId="kbtitle">
    <w:name w:val="kb_title"/>
    <w:basedOn w:val="a0"/>
    <w:rsid w:val="00B32785"/>
  </w:style>
  <w:style w:type="paragraph" w:styleId="a4">
    <w:name w:val="Normal (Web)"/>
    <w:basedOn w:val="a"/>
    <w:uiPriority w:val="99"/>
    <w:semiHidden/>
    <w:unhideWhenUsed/>
    <w:rsid w:val="00B3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27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2785"/>
    <w:rPr>
      <w:color w:val="0000FF"/>
      <w:u w:val="single"/>
    </w:rPr>
  </w:style>
  <w:style w:type="character" w:customStyle="1" w:styleId="kbsep">
    <w:name w:val="kb_sep"/>
    <w:basedOn w:val="a0"/>
    <w:rsid w:val="00B32785"/>
  </w:style>
  <w:style w:type="character" w:customStyle="1" w:styleId="kbtitle">
    <w:name w:val="kb_title"/>
    <w:basedOn w:val="a0"/>
    <w:rsid w:val="00B32785"/>
  </w:style>
  <w:style w:type="paragraph" w:styleId="a4">
    <w:name w:val="Normal (Web)"/>
    <w:basedOn w:val="a"/>
    <w:uiPriority w:val="99"/>
    <w:semiHidden/>
    <w:unhideWhenUsed/>
    <w:rsid w:val="00B3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2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2139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2</cp:revision>
  <dcterms:created xsi:type="dcterms:W3CDTF">2023-10-19T09:01:00Z</dcterms:created>
  <dcterms:modified xsi:type="dcterms:W3CDTF">2023-10-19T09:01:00Z</dcterms:modified>
</cp:coreProperties>
</file>